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28" w:rsidRDefault="00A24428" w:rsidP="00A24428">
      <w:pPr>
        <w:rPr>
          <w:rtl/>
        </w:rPr>
      </w:pPr>
    </w:p>
    <w:p w:rsidR="00A24428" w:rsidRDefault="00A24428" w:rsidP="00A24428">
      <w:pPr>
        <w:jc w:val="center"/>
        <w:rPr>
          <w:rFonts w:cs="Sahifa"/>
          <w:szCs w:val="40"/>
          <w:rtl/>
        </w:rPr>
      </w:pPr>
      <w:r>
        <w:rPr>
          <w:rFonts w:cs="Times New Roman"/>
          <w:szCs w:val="40"/>
          <w:rtl/>
        </w:rPr>
        <w:t xml:space="preserve">التجديد </w:t>
      </w:r>
      <w:proofErr w:type="spellStart"/>
      <w:r>
        <w:rPr>
          <w:rFonts w:cs="Times New Roman"/>
          <w:szCs w:val="40"/>
          <w:rtl/>
        </w:rPr>
        <w:t>التربوى</w:t>
      </w:r>
      <w:proofErr w:type="spellEnd"/>
      <w:r>
        <w:rPr>
          <w:rFonts w:cs="Times New Roman"/>
          <w:szCs w:val="40"/>
          <w:rtl/>
        </w:rPr>
        <w:t xml:space="preserve"> </w:t>
      </w:r>
      <w:proofErr w:type="spellStart"/>
      <w:r>
        <w:rPr>
          <w:rFonts w:cs="Times New Roman"/>
          <w:szCs w:val="40"/>
          <w:rtl/>
        </w:rPr>
        <w:t>فى</w:t>
      </w:r>
      <w:proofErr w:type="spellEnd"/>
      <w:r>
        <w:rPr>
          <w:rFonts w:cs="Times New Roman"/>
          <w:szCs w:val="40"/>
          <w:rtl/>
        </w:rPr>
        <w:t xml:space="preserve"> مواجهة فقر </w:t>
      </w:r>
    </w:p>
    <w:p w:rsidR="00A24428" w:rsidRDefault="00A24428" w:rsidP="00A24428">
      <w:pPr>
        <w:jc w:val="center"/>
        <w:rPr>
          <w:rFonts w:cs="Sahifa"/>
          <w:szCs w:val="26"/>
          <w:rtl/>
        </w:rPr>
      </w:pPr>
      <w:r>
        <w:rPr>
          <w:rFonts w:cs="Times New Roman"/>
          <w:szCs w:val="40"/>
          <w:rtl/>
        </w:rPr>
        <w:t>الثقافة المهنية لدى الشباب المتعلم</w:t>
      </w:r>
    </w:p>
    <w:p w:rsidR="00A24428" w:rsidRDefault="00A24428" w:rsidP="00A24428">
      <w:pPr>
        <w:spacing w:before="240"/>
        <w:jc w:val="center"/>
        <w:rPr>
          <w:rFonts w:cs="Monotype Koufi"/>
          <w:szCs w:val="26"/>
          <w:rtl/>
        </w:rPr>
      </w:pPr>
    </w:p>
    <w:p w:rsidR="00A24428" w:rsidRDefault="00A24428" w:rsidP="00A24428">
      <w:pPr>
        <w:spacing w:before="240"/>
        <w:jc w:val="center"/>
        <w:rPr>
          <w:rFonts w:cs="Monotype Koufi"/>
          <w:szCs w:val="26"/>
          <w:rtl/>
        </w:rPr>
      </w:pPr>
    </w:p>
    <w:p w:rsidR="00A24428" w:rsidRDefault="00A24428" w:rsidP="00A24428">
      <w:pPr>
        <w:jc w:val="center"/>
        <w:rPr>
          <w:rFonts w:cs="Monotype Koufi"/>
          <w:szCs w:val="26"/>
          <w:rtl/>
        </w:rPr>
      </w:pPr>
      <w:r>
        <w:rPr>
          <w:rFonts w:cs="Monotype Koufi"/>
          <w:szCs w:val="26"/>
          <w:rtl/>
        </w:rPr>
        <w:t>إعداد</w:t>
      </w:r>
    </w:p>
    <w:p w:rsidR="00A24428" w:rsidRDefault="00A24428" w:rsidP="00A24428">
      <w:pPr>
        <w:jc w:val="center"/>
        <w:rPr>
          <w:rFonts w:cs="Monotype Koufi"/>
          <w:szCs w:val="26"/>
          <w:rtl/>
        </w:rPr>
      </w:pPr>
      <w:r>
        <w:rPr>
          <w:rFonts w:cs="Monotype Koufi"/>
          <w:szCs w:val="26"/>
          <w:rtl/>
        </w:rPr>
        <w:t xml:space="preserve">الدكتور/ محمد </w:t>
      </w:r>
      <w:proofErr w:type="spellStart"/>
      <w:r>
        <w:rPr>
          <w:rFonts w:cs="Monotype Koufi"/>
          <w:szCs w:val="26"/>
          <w:rtl/>
        </w:rPr>
        <w:t>الأصمعى</w:t>
      </w:r>
      <w:proofErr w:type="spellEnd"/>
      <w:r>
        <w:rPr>
          <w:rFonts w:cs="Monotype Koufi"/>
          <w:szCs w:val="26"/>
          <w:rtl/>
        </w:rPr>
        <w:t xml:space="preserve"> محروس سليم</w:t>
      </w:r>
    </w:p>
    <w:p w:rsidR="00A24428" w:rsidRDefault="00A24428" w:rsidP="00A24428">
      <w:pPr>
        <w:jc w:val="center"/>
        <w:rPr>
          <w:rFonts w:cs="Monotype Koufi"/>
          <w:szCs w:val="26"/>
          <w:rtl/>
        </w:rPr>
      </w:pPr>
      <w:r>
        <w:rPr>
          <w:rFonts w:cs="Monotype Koufi"/>
          <w:szCs w:val="26"/>
          <w:rtl/>
        </w:rPr>
        <w:t>كلية التربية بسوهاج</w:t>
      </w:r>
    </w:p>
    <w:p w:rsidR="00A24428" w:rsidRDefault="00A24428" w:rsidP="00A24428">
      <w:pPr>
        <w:rPr>
          <w:rtl/>
        </w:rPr>
      </w:pPr>
    </w:p>
    <w:p w:rsidR="00A24428" w:rsidRDefault="00A24428" w:rsidP="00A24428">
      <w:pPr>
        <w:rPr>
          <w:rtl/>
        </w:rPr>
      </w:pPr>
    </w:p>
    <w:p w:rsidR="00A24428" w:rsidRDefault="00A24428" w:rsidP="00A24428">
      <w:pPr>
        <w:jc w:val="center"/>
        <w:rPr>
          <w:szCs w:val="36"/>
          <w:rtl/>
        </w:rPr>
      </w:pPr>
      <w:r>
        <w:rPr>
          <w:szCs w:val="36"/>
          <w:rtl/>
        </w:rPr>
        <w:t>الناشر</w:t>
      </w:r>
    </w:p>
    <w:p w:rsidR="00A24428" w:rsidRDefault="00A24428" w:rsidP="00A24428">
      <w:pPr>
        <w:jc w:val="center"/>
        <w:rPr>
          <w:szCs w:val="40"/>
          <w:rtl/>
        </w:rPr>
      </w:pPr>
      <w:r>
        <w:rPr>
          <w:szCs w:val="40"/>
          <w:rtl/>
        </w:rPr>
        <w:t>دراسات تربوية واجتماعية</w:t>
      </w:r>
    </w:p>
    <w:p w:rsidR="00A24428" w:rsidRDefault="00A24428" w:rsidP="00A24428">
      <w:pPr>
        <w:jc w:val="center"/>
        <w:rPr>
          <w:szCs w:val="32"/>
          <w:rtl/>
        </w:rPr>
      </w:pPr>
      <w:r>
        <w:rPr>
          <w:szCs w:val="32"/>
          <w:rtl/>
        </w:rPr>
        <w:t xml:space="preserve"> تصدر عن كلية التربية- جامعة حلوان</w:t>
      </w:r>
    </w:p>
    <w:p w:rsidR="00A24428" w:rsidRDefault="00A24428" w:rsidP="00A24428">
      <w:pPr>
        <w:jc w:val="center"/>
        <w:rPr>
          <w:szCs w:val="32"/>
          <w:rtl/>
        </w:rPr>
      </w:pPr>
      <w:r>
        <w:rPr>
          <w:szCs w:val="32"/>
          <w:rtl/>
        </w:rPr>
        <w:t xml:space="preserve"> المجلد الثالث. العدد </w:t>
      </w:r>
      <w:proofErr w:type="spellStart"/>
      <w:r>
        <w:rPr>
          <w:szCs w:val="32"/>
          <w:rtl/>
        </w:rPr>
        <w:t>الثانى</w:t>
      </w:r>
      <w:proofErr w:type="spellEnd"/>
    </w:p>
    <w:p w:rsidR="00A24428" w:rsidRDefault="00A24428" w:rsidP="00A24428">
      <w:pPr>
        <w:jc w:val="center"/>
        <w:rPr>
          <w:szCs w:val="32"/>
          <w:rtl/>
        </w:rPr>
      </w:pPr>
      <w:r>
        <w:rPr>
          <w:szCs w:val="32"/>
          <w:rtl/>
        </w:rPr>
        <w:t xml:space="preserve"> القاهرة، يونيو 1997م.</w:t>
      </w:r>
    </w:p>
    <w:p w:rsidR="00A24428" w:rsidRDefault="00A24428" w:rsidP="00A24428">
      <w:pPr>
        <w:rPr>
          <w:rtl/>
        </w:rPr>
      </w:pPr>
      <w:r>
        <w:rPr>
          <w:rtl/>
        </w:rPr>
        <w:br w:type="page"/>
      </w:r>
    </w:p>
    <w:tbl>
      <w:tblPr>
        <w:bidiVisual/>
        <w:tblW w:w="0" w:type="auto"/>
        <w:tblLayout w:type="fixed"/>
        <w:tblLook w:val="0000"/>
      </w:tblPr>
      <w:tblGrid>
        <w:gridCol w:w="5959"/>
        <w:gridCol w:w="1101"/>
      </w:tblGrid>
      <w:tr w:rsidR="00A24428" w:rsidTr="00933A99">
        <w:trPr>
          <w:tblHeader/>
        </w:trPr>
        <w:tc>
          <w:tcPr>
            <w:tcW w:w="5959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lastRenderedPageBreak/>
              <w:t>محتويات الدراسة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الصفحة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Fonts w:cs="Times New Roman"/>
                <w:szCs w:val="26"/>
                <w:rtl/>
              </w:rPr>
              <w:t>أولاً</w:t>
            </w:r>
            <w:r>
              <w:rPr>
                <w:rFonts w:cs="Sahifa"/>
                <w:szCs w:val="26"/>
                <w:rtl/>
              </w:rPr>
              <w:t xml:space="preserve">: </w:t>
            </w:r>
            <w:r>
              <w:rPr>
                <w:rFonts w:cs="Times New Roman"/>
                <w:szCs w:val="26"/>
                <w:rtl/>
              </w:rPr>
              <w:t>مشكلة الدراسة وأهميتها وخطواتها البحثية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مقدمة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1-2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مشكلة الدراسة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2-6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أسئلة الدراسة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6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منهج الدراسة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6-7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أداة الدراسة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7-8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مصطلحات الدراسة </w:t>
            </w:r>
            <w:r>
              <w:rPr>
                <w:szCs w:val="14"/>
                <w:rtl/>
              </w:rPr>
              <w:t>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8-9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ind w:left="465"/>
              <w:rPr>
                <w:rtl/>
              </w:rPr>
            </w:pPr>
            <w:r>
              <w:rPr>
                <w:rtl/>
              </w:rPr>
              <w:t xml:space="preserve">1- فقر الثقافة المهنية </w:t>
            </w:r>
            <w:r>
              <w:rPr>
                <w:szCs w:val="14"/>
                <w:rtl/>
              </w:rPr>
              <w:t>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8-9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ind w:left="465"/>
              <w:rPr>
                <w:rtl/>
              </w:rPr>
            </w:pPr>
            <w:r>
              <w:rPr>
                <w:rtl/>
              </w:rPr>
              <w:t xml:space="preserve">2- التجديد </w:t>
            </w:r>
            <w:proofErr w:type="spellStart"/>
            <w:r>
              <w:rPr>
                <w:rtl/>
              </w:rPr>
              <w:t>التربوى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szCs w:val="14"/>
                <w:rtl/>
              </w:rPr>
              <w:t>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9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مسلمات الدراسة </w:t>
            </w:r>
            <w:r>
              <w:rPr>
                <w:szCs w:val="14"/>
                <w:rtl/>
              </w:rPr>
              <w:t>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9-10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أهمية الدراسة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10-11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البحوث والدراسات السابقة </w:t>
            </w:r>
            <w:r>
              <w:rPr>
                <w:szCs w:val="14"/>
                <w:rtl/>
              </w:rPr>
              <w:t>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11-19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خطوات السير </w:t>
            </w:r>
            <w:proofErr w:type="spellStart"/>
            <w:r>
              <w:rPr>
                <w:rtl/>
              </w:rPr>
              <w:t>فى</w:t>
            </w:r>
            <w:proofErr w:type="spellEnd"/>
            <w:r>
              <w:rPr>
                <w:rtl/>
              </w:rPr>
              <w:t xml:space="preserve"> الدراسة </w:t>
            </w:r>
            <w:r>
              <w:rPr>
                <w:szCs w:val="14"/>
                <w:rtl/>
              </w:rPr>
              <w:t>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19-20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Fonts w:cs="Times New Roman"/>
                <w:szCs w:val="26"/>
                <w:rtl/>
              </w:rPr>
              <w:t>ثانياً</w:t>
            </w:r>
            <w:r>
              <w:rPr>
                <w:rFonts w:cs="Sahifa"/>
                <w:szCs w:val="26"/>
                <w:rtl/>
              </w:rPr>
              <w:t xml:space="preserve">: </w:t>
            </w:r>
            <w:r>
              <w:rPr>
                <w:rFonts w:cs="Times New Roman"/>
                <w:szCs w:val="26"/>
                <w:rtl/>
              </w:rPr>
              <w:t>الثقافة المهنية لدى الشباب المتعلم وعلاقتها بالتربية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مقدمة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21-22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الثقافة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22-23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المهنة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24-25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الثقافة المهنية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25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الثقافة المهنية والتربية </w:t>
            </w:r>
            <w:r>
              <w:rPr>
                <w:szCs w:val="14"/>
                <w:rtl/>
              </w:rPr>
              <w:t>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26-28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الخلاصة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28-29</w:t>
            </w:r>
          </w:p>
        </w:tc>
      </w:tr>
    </w:tbl>
    <w:p w:rsidR="00A24428" w:rsidRDefault="00A24428" w:rsidP="00A24428">
      <w:pPr>
        <w:rPr>
          <w:szCs w:val="6"/>
          <w:rtl/>
        </w:rPr>
      </w:pPr>
      <w:r>
        <w:rPr>
          <w:rtl/>
        </w:rPr>
        <w:br w:type="page"/>
      </w:r>
    </w:p>
    <w:tbl>
      <w:tblPr>
        <w:bidiVisual/>
        <w:tblW w:w="0" w:type="auto"/>
        <w:tblLayout w:type="fixed"/>
        <w:tblLook w:val="0000"/>
      </w:tblPr>
      <w:tblGrid>
        <w:gridCol w:w="5959"/>
        <w:gridCol w:w="1101"/>
      </w:tblGrid>
      <w:tr w:rsidR="00A24428" w:rsidTr="00933A99">
        <w:tc>
          <w:tcPr>
            <w:tcW w:w="5959" w:type="dxa"/>
          </w:tcPr>
          <w:p w:rsidR="00A24428" w:rsidRDefault="00A24428" w:rsidP="00933A99">
            <w:pPr>
              <w:jc w:val="center"/>
              <w:rPr>
                <w:rFonts w:cs="Sahifa"/>
                <w:szCs w:val="26"/>
                <w:rtl/>
              </w:rPr>
            </w:pPr>
            <w:r>
              <w:rPr>
                <w:rFonts w:cs="Times New Roman"/>
                <w:szCs w:val="26"/>
                <w:rtl/>
              </w:rPr>
              <w:lastRenderedPageBreak/>
              <w:t>ثالثاً</w:t>
            </w:r>
            <w:r>
              <w:rPr>
                <w:rFonts w:cs="Sahifa"/>
                <w:szCs w:val="26"/>
                <w:rtl/>
              </w:rPr>
              <w:t xml:space="preserve">: </w:t>
            </w:r>
            <w:r>
              <w:rPr>
                <w:rFonts w:cs="Times New Roman"/>
                <w:szCs w:val="26"/>
                <w:rtl/>
              </w:rPr>
              <w:t>فقر الثقافة المهنية لدى الشباب المتعلم</w:t>
            </w:r>
          </w:p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Fonts w:cs="Times New Roman"/>
                <w:szCs w:val="26"/>
                <w:rtl/>
              </w:rPr>
              <w:t xml:space="preserve">وتأثيراته </w:t>
            </w:r>
            <w:proofErr w:type="spellStart"/>
            <w:r>
              <w:rPr>
                <w:rFonts w:cs="Times New Roman"/>
                <w:szCs w:val="26"/>
                <w:rtl/>
              </w:rPr>
              <w:t>فى</w:t>
            </w:r>
            <w:proofErr w:type="spellEnd"/>
            <w:r>
              <w:rPr>
                <w:rFonts w:cs="Times New Roman"/>
                <w:szCs w:val="26"/>
                <w:rtl/>
              </w:rPr>
              <w:t xml:space="preserve"> سوق العمل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مقدمة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30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مفهوم الفقر وأنواعه </w:t>
            </w:r>
            <w:r>
              <w:rPr>
                <w:szCs w:val="14"/>
                <w:rtl/>
              </w:rPr>
              <w:t>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30-31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فقر الثقافة المهنية لدى الشباب المتعلم </w:t>
            </w:r>
            <w:r>
              <w:rPr>
                <w:szCs w:val="14"/>
                <w:rtl/>
              </w:rPr>
              <w:t>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31-32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تأثير فقر الثقافة المهنية </w:t>
            </w:r>
            <w:proofErr w:type="spellStart"/>
            <w:r>
              <w:rPr>
                <w:rtl/>
              </w:rPr>
              <w:t>فى</w:t>
            </w:r>
            <w:proofErr w:type="spellEnd"/>
            <w:r>
              <w:rPr>
                <w:rtl/>
              </w:rPr>
              <w:t xml:space="preserve"> سوق العمل </w:t>
            </w:r>
            <w:r>
              <w:rPr>
                <w:szCs w:val="14"/>
                <w:rtl/>
              </w:rPr>
              <w:t>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32-33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ind w:left="465"/>
              <w:rPr>
                <w:rtl/>
              </w:rPr>
            </w:pPr>
            <w:r>
              <w:rPr>
                <w:rtl/>
              </w:rPr>
              <w:t xml:space="preserve">أولاً: فقر الثقافة المهنية والبطالة </w:t>
            </w:r>
            <w:r>
              <w:rPr>
                <w:szCs w:val="14"/>
                <w:rtl/>
              </w:rPr>
              <w:t>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33-34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spacing w:line="228" w:lineRule="auto"/>
              <w:ind w:left="465"/>
              <w:rPr>
                <w:rtl/>
              </w:rPr>
            </w:pPr>
            <w:r>
              <w:rPr>
                <w:rtl/>
              </w:rPr>
              <w:t xml:space="preserve">ثانياً: فقر الثقافة المهنية ومستوى الوظيفة </w:t>
            </w:r>
            <w:r>
              <w:rPr>
                <w:szCs w:val="14"/>
                <w:rtl/>
              </w:rPr>
              <w:t>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34-35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spacing w:line="228" w:lineRule="auto"/>
              <w:ind w:left="465"/>
              <w:rPr>
                <w:rtl/>
              </w:rPr>
            </w:pPr>
            <w:r>
              <w:rPr>
                <w:rtl/>
              </w:rPr>
              <w:t xml:space="preserve">ثالثاً: فقر الثقافة المهنية والإنتاجية </w:t>
            </w:r>
            <w:r>
              <w:rPr>
                <w:szCs w:val="14"/>
                <w:rtl/>
              </w:rPr>
              <w:t>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35-36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الخلاصة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36-37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spacing w:line="228" w:lineRule="auto"/>
              <w:jc w:val="center"/>
              <w:rPr>
                <w:rFonts w:cs="Sahifa"/>
                <w:szCs w:val="26"/>
                <w:rtl/>
              </w:rPr>
            </w:pPr>
            <w:r>
              <w:rPr>
                <w:rFonts w:cs="Times New Roman"/>
                <w:szCs w:val="26"/>
                <w:rtl/>
              </w:rPr>
              <w:t>رابعاً</w:t>
            </w:r>
            <w:r>
              <w:rPr>
                <w:rFonts w:cs="Sahifa"/>
                <w:szCs w:val="26"/>
                <w:rtl/>
              </w:rPr>
              <w:t xml:space="preserve">: </w:t>
            </w:r>
            <w:r>
              <w:rPr>
                <w:rFonts w:cs="Times New Roman"/>
                <w:szCs w:val="26"/>
                <w:rtl/>
              </w:rPr>
              <w:t>ملامح فقر الثقافة المهنية لدى عينة من الشباب</w:t>
            </w:r>
          </w:p>
          <w:p w:rsidR="00A24428" w:rsidRDefault="00A24428" w:rsidP="00933A99">
            <w:pPr>
              <w:spacing w:line="228" w:lineRule="auto"/>
              <w:jc w:val="center"/>
              <w:rPr>
                <w:rtl/>
              </w:rPr>
            </w:pPr>
            <w:r>
              <w:rPr>
                <w:rFonts w:cs="Times New Roman"/>
                <w:szCs w:val="26"/>
                <w:rtl/>
              </w:rPr>
              <w:t>المتعلم والعوامل المؤثرة فيها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مقدمة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38-39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مجتمع الدراسة الميدانية: سوق العمل والعمالة </w:t>
            </w:r>
            <w:proofErr w:type="spellStart"/>
            <w:r>
              <w:rPr>
                <w:rtl/>
              </w:rPr>
              <w:t>فى</w:t>
            </w:r>
            <w:proofErr w:type="spellEnd"/>
            <w:r>
              <w:rPr>
                <w:rtl/>
              </w:rPr>
              <w:t xml:space="preserve"> محافظة سوهاج </w:t>
            </w:r>
            <w:r>
              <w:rPr>
                <w:szCs w:val="14"/>
                <w:rtl/>
              </w:rPr>
              <w:t>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39-41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فروض الدراسة الميدانية </w:t>
            </w:r>
            <w:r>
              <w:rPr>
                <w:szCs w:val="14"/>
                <w:rtl/>
              </w:rPr>
              <w:t>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41-42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عينة الدراسة الميدانية </w:t>
            </w:r>
            <w:r>
              <w:rPr>
                <w:szCs w:val="14"/>
                <w:rtl/>
              </w:rPr>
              <w:t>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42-43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المعالجة </w:t>
            </w:r>
            <w:proofErr w:type="spellStart"/>
            <w:r>
              <w:rPr>
                <w:rtl/>
              </w:rPr>
              <w:t>الاحصائية</w:t>
            </w:r>
            <w:proofErr w:type="spellEnd"/>
            <w:r>
              <w:rPr>
                <w:rtl/>
              </w:rPr>
              <w:t xml:space="preserve"> للدراسة الميدانية </w:t>
            </w:r>
            <w:r>
              <w:rPr>
                <w:szCs w:val="14"/>
                <w:rtl/>
              </w:rPr>
              <w:t>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43-45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نتائج الدراسة الميدانية </w:t>
            </w:r>
            <w:r>
              <w:rPr>
                <w:szCs w:val="14"/>
                <w:rtl/>
              </w:rPr>
              <w:t>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45-48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ملامح فقر الثقافة المهنية لدى عينة الدراسة </w:t>
            </w:r>
            <w:r>
              <w:rPr>
                <w:szCs w:val="14"/>
                <w:rtl/>
              </w:rPr>
              <w:t>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48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spacing w:line="228" w:lineRule="auto"/>
              <w:ind w:left="1032" w:hanging="567"/>
              <w:rPr>
                <w:rtl/>
              </w:rPr>
            </w:pPr>
            <w:r>
              <w:rPr>
                <w:rtl/>
              </w:rPr>
              <w:t xml:space="preserve">أولاً: مدة البطالة المتوقعة لدى الشباب المتعلم </w:t>
            </w:r>
            <w:r>
              <w:rPr>
                <w:szCs w:val="14"/>
                <w:rtl/>
              </w:rPr>
              <w:t>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48-50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spacing w:line="228" w:lineRule="auto"/>
              <w:ind w:left="1032" w:hanging="567"/>
              <w:rPr>
                <w:rtl/>
              </w:rPr>
            </w:pPr>
            <w:r>
              <w:rPr>
                <w:rtl/>
              </w:rPr>
              <w:t xml:space="preserve">ثانياً: فرص التوظف المتوقعة لدى الشباب المتعلم </w:t>
            </w:r>
            <w:r>
              <w:rPr>
                <w:szCs w:val="14"/>
                <w:rtl/>
              </w:rPr>
              <w:t>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51-53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spacing w:line="228" w:lineRule="auto"/>
              <w:ind w:left="1032" w:hanging="567"/>
              <w:rPr>
                <w:rtl/>
              </w:rPr>
            </w:pPr>
            <w:r>
              <w:rPr>
                <w:rtl/>
              </w:rPr>
              <w:t xml:space="preserve">ثالثاً: فرص العمل المؤقت لدى الشباب المتعلم </w:t>
            </w:r>
            <w:r>
              <w:rPr>
                <w:szCs w:val="14"/>
                <w:rtl/>
              </w:rPr>
              <w:t>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53-56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العوامل </w:t>
            </w:r>
            <w:proofErr w:type="spellStart"/>
            <w:r>
              <w:rPr>
                <w:rtl/>
              </w:rPr>
              <w:t>التى</w:t>
            </w:r>
            <w:proofErr w:type="spellEnd"/>
            <w:r>
              <w:rPr>
                <w:rtl/>
              </w:rPr>
              <w:t xml:space="preserve"> أفرزت فقراً </w:t>
            </w:r>
            <w:proofErr w:type="spellStart"/>
            <w:r>
              <w:rPr>
                <w:rtl/>
              </w:rPr>
              <w:t>فى</w:t>
            </w:r>
            <w:proofErr w:type="spellEnd"/>
            <w:r>
              <w:rPr>
                <w:rtl/>
              </w:rPr>
              <w:t xml:space="preserve"> الثقافة المهنية لدى الشباب المتعلم</w:t>
            </w:r>
            <w:r>
              <w:rPr>
                <w:szCs w:val="16"/>
                <w:rtl/>
              </w:rPr>
              <w:t>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56-58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الخلاصة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58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933A99">
            <w:pPr>
              <w:jc w:val="center"/>
              <w:rPr>
                <w:rFonts w:cs="Sahifa"/>
                <w:szCs w:val="26"/>
                <w:rtl/>
              </w:rPr>
            </w:pPr>
            <w:r>
              <w:rPr>
                <w:rFonts w:cs="Times New Roman"/>
                <w:szCs w:val="26"/>
                <w:rtl/>
              </w:rPr>
              <w:lastRenderedPageBreak/>
              <w:t>خامساً</w:t>
            </w:r>
            <w:r>
              <w:rPr>
                <w:rFonts w:cs="Sahifa"/>
                <w:szCs w:val="26"/>
                <w:rtl/>
              </w:rPr>
              <w:t xml:space="preserve">: </w:t>
            </w:r>
            <w:r>
              <w:rPr>
                <w:rFonts w:cs="Times New Roman"/>
                <w:szCs w:val="26"/>
                <w:rtl/>
              </w:rPr>
              <w:t xml:space="preserve">دور التجديد </w:t>
            </w:r>
            <w:proofErr w:type="spellStart"/>
            <w:r>
              <w:rPr>
                <w:rFonts w:cs="Times New Roman"/>
                <w:szCs w:val="26"/>
                <w:rtl/>
              </w:rPr>
              <w:t>التربوى</w:t>
            </w:r>
            <w:proofErr w:type="spellEnd"/>
            <w:r>
              <w:rPr>
                <w:rFonts w:cs="Times New Roman"/>
                <w:szCs w:val="26"/>
                <w:rtl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rtl/>
              </w:rPr>
              <w:t>فى</w:t>
            </w:r>
            <w:proofErr w:type="spellEnd"/>
            <w:r>
              <w:rPr>
                <w:rFonts w:cs="Times New Roman"/>
                <w:szCs w:val="26"/>
                <w:rtl/>
              </w:rPr>
              <w:t xml:space="preserve"> مواجهة فقر</w:t>
            </w:r>
          </w:p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Fonts w:cs="Times New Roman"/>
                <w:szCs w:val="26"/>
                <w:rtl/>
              </w:rPr>
              <w:t>الثقافة المهنية لدى الشباب المتعلم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مقدمة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59-60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مفهوم التجديد </w:t>
            </w:r>
            <w:proofErr w:type="spellStart"/>
            <w:r>
              <w:rPr>
                <w:rtl/>
              </w:rPr>
              <w:t>التربوى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szCs w:val="14"/>
                <w:rtl/>
              </w:rPr>
              <w:t>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60-62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التجديد </w:t>
            </w:r>
            <w:proofErr w:type="spellStart"/>
            <w:r>
              <w:rPr>
                <w:rtl/>
              </w:rPr>
              <w:t>التربوى</w:t>
            </w:r>
            <w:proofErr w:type="spellEnd"/>
            <w:r>
              <w:rPr>
                <w:rtl/>
              </w:rPr>
              <w:t xml:space="preserve"> والثقافة </w:t>
            </w:r>
            <w:r>
              <w:rPr>
                <w:szCs w:val="14"/>
                <w:rtl/>
              </w:rPr>
              <w:t>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62-64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التجديد </w:t>
            </w:r>
            <w:proofErr w:type="spellStart"/>
            <w:r>
              <w:rPr>
                <w:rtl/>
              </w:rPr>
              <w:t>التربوى</w:t>
            </w:r>
            <w:proofErr w:type="spellEnd"/>
            <w:r>
              <w:rPr>
                <w:rtl/>
              </w:rPr>
              <w:t xml:space="preserve"> والثقافة المهنية </w:t>
            </w:r>
            <w:r>
              <w:rPr>
                <w:szCs w:val="14"/>
                <w:rtl/>
              </w:rPr>
              <w:t>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64-67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التجديد </w:t>
            </w:r>
            <w:proofErr w:type="spellStart"/>
            <w:r>
              <w:rPr>
                <w:rtl/>
              </w:rPr>
              <w:t>التربوى</w:t>
            </w:r>
            <w:proofErr w:type="spellEnd"/>
            <w:r>
              <w:rPr>
                <w:rtl/>
              </w:rPr>
              <w:t xml:space="preserve"> وفقر الثقافة المهنية </w:t>
            </w:r>
            <w:r>
              <w:rPr>
                <w:szCs w:val="14"/>
                <w:rtl/>
              </w:rPr>
              <w:t>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67-77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الخلاصة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77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خاتمة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87-81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مراجع الدراسة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  <w:r>
              <w:rPr>
                <w:rtl/>
              </w:rPr>
              <w:t>82-89</w:t>
            </w:r>
          </w:p>
        </w:tc>
      </w:tr>
      <w:tr w:rsidR="00A24428" w:rsidTr="00933A99">
        <w:tc>
          <w:tcPr>
            <w:tcW w:w="5959" w:type="dxa"/>
          </w:tcPr>
          <w:p w:rsidR="00A24428" w:rsidRDefault="00A24428" w:rsidP="00A24428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rtl/>
              </w:rPr>
              <w:t xml:space="preserve">ملاحق الدراسة </w:t>
            </w:r>
            <w:r>
              <w:rPr>
                <w:szCs w:val="14"/>
                <w:rtl/>
              </w:rPr>
              <w:t>...........................................................................................................</w:t>
            </w:r>
          </w:p>
        </w:tc>
        <w:tc>
          <w:tcPr>
            <w:tcW w:w="1101" w:type="dxa"/>
          </w:tcPr>
          <w:p w:rsidR="00A24428" w:rsidRDefault="00A24428" w:rsidP="00933A99">
            <w:pPr>
              <w:jc w:val="center"/>
              <w:rPr>
                <w:rtl/>
              </w:rPr>
            </w:pPr>
          </w:p>
        </w:tc>
      </w:tr>
    </w:tbl>
    <w:p w:rsidR="00A24428" w:rsidRDefault="00A24428" w:rsidP="00A24428">
      <w:pPr>
        <w:jc w:val="center"/>
        <w:rPr>
          <w:rtl/>
        </w:rPr>
      </w:pPr>
    </w:p>
    <w:p w:rsidR="00A24428" w:rsidRDefault="00A24428" w:rsidP="00A24428"/>
    <w:p w:rsidR="00A24428" w:rsidRDefault="00A24428" w:rsidP="00A24428">
      <w:pPr>
        <w:jc w:val="center"/>
        <w:rPr>
          <w:rtl/>
        </w:rPr>
      </w:pPr>
    </w:p>
    <w:p w:rsidR="00A24428" w:rsidRDefault="00A24428" w:rsidP="00A24428">
      <w:pPr>
        <w:jc w:val="center"/>
        <w:rPr>
          <w:rtl/>
        </w:rPr>
        <w:sectPr w:rsidR="00A24428">
          <w:headerReference w:type="even" r:id="rId5"/>
          <w:headerReference w:type="default" r:id="rId6"/>
          <w:endnotePr>
            <w:numFmt w:val="lowerLetter"/>
          </w:endnotePr>
          <w:pgSz w:w="10438" w:h="15122" w:code="7"/>
          <w:pgMar w:top="1440" w:right="1797" w:bottom="1440" w:left="1797" w:header="720" w:footer="720" w:gutter="0"/>
          <w:cols w:space="720"/>
          <w:bidi/>
          <w:rtlGutter/>
        </w:sectPr>
      </w:pPr>
    </w:p>
    <w:p w:rsidR="00EE3134" w:rsidRDefault="00EE3134"/>
    <w:sectPr w:rsidR="00EE3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hifa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0" w:rsidRDefault="00EE3134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22C30" w:rsidRDefault="00EE3134">
    <w:pPr>
      <w:pStyle w:val="a3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0" w:rsidRDefault="00EE3134">
    <w:pPr>
      <w:pStyle w:val="a3"/>
      <w:framePr w:w="1338" w:wrap="around" w:vAnchor="text" w:hAnchor="margin" w:xAlign="center" w:y="3"/>
      <w:jc w:val="center"/>
      <w:rPr>
        <w:rStyle w:val="a4"/>
        <w:rtl/>
      </w:rPr>
    </w:pPr>
    <w:r>
      <w:rPr>
        <w:rStyle w:val="a4"/>
        <w:rtl/>
      </w:rPr>
      <w:t xml:space="preserve">- </w:t>
    </w: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A24428">
      <w:rPr>
        <w:rStyle w:val="a4"/>
        <w:noProof/>
        <w:rtl/>
      </w:rPr>
      <w:t>1</w:t>
    </w:r>
    <w:r>
      <w:rPr>
        <w:rStyle w:val="a4"/>
        <w:rtl/>
      </w:rPr>
      <w:fldChar w:fldCharType="end"/>
    </w:r>
    <w:r>
      <w:rPr>
        <w:rStyle w:val="a4"/>
        <w:rtl/>
      </w:rPr>
      <w:t xml:space="preserve"> -</w:t>
    </w:r>
  </w:p>
  <w:p w:rsidR="00F22C30" w:rsidRDefault="00EE3134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A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endnotePr>
    <w:numFmt w:val="lowerLetter"/>
  </w:endnotePr>
  <w:compat>
    <w:useFELayout/>
  </w:compat>
  <w:rsids>
    <w:rsidRoot w:val="00A24428"/>
    <w:rsid w:val="00A24428"/>
    <w:rsid w:val="00EE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244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6"/>
      <w:szCs w:val="30"/>
    </w:rPr>
  </w:style>
  <w:style w:type="character" w:customStyle="1" w:styleId="Char">
    <w:name w:val="رأس صفحة Char"/>
    <w:basedOn w:val="a0"/>
    <w:link w:val="a3"/>
    <w:semiHidden/>
    <w:rsid w:val="00A24428"/>
    <w:rPr>
      <w:rFonts w:ascii="Times New Roman" w:eastAsia="Times New Roman" w:hAnsi="Times New Roman" w:cs="Times New Roman"/>
      <w:b/>
      <w:bCs/>
      <w:sz w:val="26"/>
      <w:szCs w:val="30"/>
    </w:rPr>
  </w:style>
  <w:style w:type="character" w:styleId="a4">
    <w:name w:val="page number"/>
    <w:basedOn w:val="a0"/>
    <w:semiHidden/>
    <w:rsid w:val="00A24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2</cp:revision>
  <dcterms:created xsi:type="dcterms:W3CDTF">2018-10-04T11:46:00Z</dcterms:created>
  <dcterms:modified xsi:type="dcterms:W3CDTF">2018-10-04T11:46:00Z</dcterms:modified>
</cp:coreProperties>
</file>